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9E" w:rsidRPr="00DB086E" w:rsidRDefault="00CD289E" w:rsidP="001B7DE3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 про проведену</w:t>
      </w:r>
      <w:r w:rsidRPr="00DB086E">
        <w:rPr>
          <w:b/>
          <w:sz w:val="28"/>
          <w:szCs w:val="28"/>
          <w:lang w:val="uk-UA"/>
        </w:rPr>
        <w:t xml:space="preserve"> методичн</w:t>
      </w:r>
      <w:r>
        <w:rPr>
          <w:b/>
          <w:sz w:val="28"/>
          <w:szCs w:val="28"/>
          <w:lang w:val="uk-UA"/>
        </w:rPr>
        <w:t>у</w:t>
      </w:r>
      <w:r w:rsidRPr="00DB086E">
        <w:rPr>
          <w:b/>
          <w:sz w:val="28"/>
          <w:szCs w:val="28"/>
          <w:lang w:val="uk-UA"/>
        </w:rPr>
        <w:t xml:space="preserve"> робот</w:t>
      </w:r>
      <w:r>
        <w:rPr>
          <w:b/>
          <w:sz w:val="28"/>
          <w:szCs w:val="28"/>
          <w:lang w:val="uk-UA"/>
        </w:rPr>
        <w:t>у</w:t>
      </w:r>
    </w:p>
    <w:p w:rsidR="00CD289E" w:rsidRPr="00DB086E" w:rsidRDefault="00CD289E" w:rsidP="001B7DE3">
      <w:pPr>
        <w:contextualSpacing/>
        <w:jc w:val="center"/>
        <w:rPr>
          <w:sz w:val="28"/>
          <w:szCs w:val="28"/>
          <w:lang w:val="uk-UA"/>
        </w:rPr>
      </w:pPr>
      <w:r w:rsidRPr="00DB086E">
        <w:rPr>
          <w:b/>
          <w:sz w:val="28"/>
          <w:szCs w:val="28"/>
          <w:lang w:val="uk-UA"/>
        </w:rPr>
        <w:t xml:space="preserve">у </w:t>
      </w:r>
      <w:r>
        <w:rPr>
          <w:b/>
          <w:sz w:val="28"/>
          <w:szCs w:val="28"/>
          <w:lang w:val="uk-UA"/>
        </w:rPr>
        <w:t xml:space="preserve">Чернівецькій </w:t>
      </w:r>
      <w:r w:rsidRPr="00DB086E">
        <w:rPr>
          <w:b/>
          <w:sz w:val="28"/>
          <w:szCs w:val="28"/>
          <w:lang w:val="uk-UA"/>
        </w:rPr>
        <w:t>гімназії</w:t>
      </w:r>
      <w:r w:rsidR="001B7DE3">
        <w:rPr>
          <w:b/>
          <w:sz w:val="28"/>
          <w:szCs w:val="28"/>
          <w:lang w:val="uk-UA"/>
        </w:rPr>
        <w:t xml:space="preserve"> № 19</w:t>
      </w:r>
      <w:r w:rsidRPr="00DB086E">
        <w:rPr>
          <w:b/>
          <w:sz w:val="28"/>
          <w:szCs w:val="28"/>
          <w:lang w:val="uk-UA"/>
        </w:rPr>
        <w:t xml:space="preserve"> за 202</w:t>
      </w:r>
      <w:r>
        <w:rPr>
          <w:b/>
          <w:sz w:val="28"/>
          <w:szCs w:val="28"/>
          <w:lang w:val="uk-UA"/>
        </w:rPr>
        <w:t>5</w:t>
      </w:r>
      <w:r w:rsidRPr="00DB086E">
        <w:rPr>
          <w:b/>
          <w:sz w:val="28"/>
          <w:szCs w:val="28"/>
          <w:lang w:val="uk-UA"/>
        </w:rPr>
        <w:t>/202</w:t>
      </w:r>
      <w:r>
        <w:rPr>
          <w:b/>
          <w:sz w:val="28"/>
          <w:szCs w:val="28"/>
          <w:lang w:val="uk-UA"/>
        </w:rPr>
        <w:t>6</w:t>
      </w:r>
      <w:r w:rsidRPr="00DB086E">
        <w:rPr>
          <w:b/>
          <w:sz w:val="28"/>
          <w:szCs w:val="28"/>
          <w:lang w:val="uk-UA"/>
        </w:rPr>
        <w:t xml:space="preserve"> </w:t>
      </w:r>
      <w:r w:rsidR="001B7DE3">
        <w:rPr>
          <w:b/>
          <w:sz w:val="28"/>
          <w:szCs w:val="28"/>
          <w:lang w:val="uk-UA"/>
        </w:rPr>
        <w:t>навчальний рік</w:t>
      </w:r>
    </w:p>
    <w:p w:rsidR="00777FC8" w:rsidRPr="00CD289E" w:rsidRDefault="00777FC8">
      <w:pPr>
        <w:rPr>
          <w:lang w:val="uk-UA"/>
        </w:rPr>
      </w:pPr>
    </w:p>
    <w:p w:rsidR="00CD289E" w:rsidRPr="00DB086E" w:rsidRDefault="00CD289E" w:rsidP="00CD289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B086E">
        <w:rPr>
          <w:rFonts w:ascii="Times New Roman" w:hAnsi="Times New Roman" w:cs="Times New Roman"/>
          <w:sz w:val="28"/>
          <w:szCs w:val="28"/>
        </w:rPr>
        <w:t>Методична робота, як систематична діяльність, у Чернівецькій гімназії № 19 Чернівецької міської ради упродовж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086E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B086E">
        <w:rPr>
          <w:rFonts w:ascii="Times New Roman" w:hAnsi="Times New Roman" w:cs="Times New Roman"/>
          <w:sz w:val="28"/>
          <w:szCs w:val="28"/>
        </w:rPr>
        <w:t xml:space="preserve"> навчального року, була спрямована на підвищення професійної майстерності педагогічних працівників та покращення якості навчально-виховного процесу. Проводилась, керуючись рядом нормативних документів, наведених у </w:t>
      </w:r>
      <w:r w:rsidRPr="00C57DDD">
        <w:rPr>
          <w:rFonts w:ascii="Times New Roman" w:hAnsi="Times New Roman" w:cs="Times New Roman"/>
          <w:sz w:val="28"/>
          <w:szCs w:val="28"/>
        </w:rPr>
        <w:t>додатку 1.</w:t>
      </w:r>
    </w:p>
    <w:p w:rsidR="00CD289E" w:rsidRPr="00DB086E" w:rsidRDefault="00CD289E" w:rsidP="00CD289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B086E">
        <w:rPr>
          <w:rFonts w:ascii="Times New Roman" w:hAnsi="Times New Roman" w:cs="Times New Roman"/>
          <w:sz w:val="28"/>
          <w:szCs w:val="28"/>
        </w:rPr>
        <w:t>Роботу педагогічного колективу було спрямовано на продовження реалізації науково-методичної теми “Підвищення якості надання освітніх послуг через впровадження у навчально-виховний процес сучасних  технологій навчання для НУШ”  (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086E">
        <w:rPr>
          <w:rFonts w:ascii="Times New Roman" w:hAnsi="Times New Roman" w:cs="Times New Roman"/>
          <w:sz w:val="28"/>
          <w:szCs w:val="28"/>
        </w:rPr>
        <w:t>-й рік). Вона охоплює комплекс заходів, які сприяють розвитку творчого потенціалу педагогів, їх безперервній освіті та вдосконаленню професійних навичок.</w:t>
      </w:r>
    </w:p>
    <w:p w:rsidR="00CD289E" w:rsidRDefault="00CD289E" w:rsidP="00CD289E">
      <w:pPr>
        <w:contextualSpacing/>
        <w:rPr>
          <w:sz w:val="28"/>
          <w:szCs w:val="28"/>
          <w:lang w:val="uk-UA"/>
        </w:rPr>
      </w:pPr>
      <w:r w:rsidRPr="00DB086E">
        <w:rPr>
          <w:sz w:val="28"/>
          <w:szCs w:val="28"/>
          <w:lang w:val="uk-UA"/>
        </w:rPr>
        <w:tab/>
      </w:r>
      <w:r w:rsidRPr="00DB086E">
        <w:rPr>
          <w:sz w:val="28"/>
          <w:szCs w:val="28"/>
          <w:lang w:val="uk-UA"/>
        </w:rPr>
        <w:tab/>
      </w:r>
      <w:r w:rsidRPr="00DB086E">
        <w:rPr>
          <w:sz w:val="28"/>
          <w:szCs w:val="28"/>
          <w:lang w:val="uk-UA"/>
        </w:rPr>
        <w:tab/>
        <w:t>Детальний аналіз роботи методичної служби за І семестр 202</w:t>
      </w:r>
      <w:r>
        <w:rPr>
          <w:sz w:val="28"/>
          <w:szCs w:val="28"/>
          <w:lang w:val="uk-UA"/>
        </w:rPr>
        <w:t>5</w:t>
      </w:r>
      <w:r w:rsidRPr="00DB086E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DB086E">
        <w:rPr>
          <w:sz w:val="28"/>
          <w:szCs w:val="28"/>
          <w:lang w:val="uk-UA"/>
        </w:rPr>
        <w:t xml:space="preserve"> </w:t>
      </w:r>
      <w:r w:rsidRPr="00406DFC">
        <w:rPr>
          <w:sz w:val="28"/>
          <w:szCs w:val="28"/>
          <w:lang w:val="uk-UA"/>
        </w:rPr>
        <w:t>навчального року наведено у наказі від 02.01.2026 № 05 “Про підсумок</w:t>
      </w:r>
      <w:r w:rsidRPr="002E31E5">
        <w:rPr>
          <w:sz w:val="28"/>
          <w:szCs w:val="28"/>
          <w:lang w:val="uk-UA"/>
        </w:rPr>
        <w:t xml:space="preserve"> методичної роботи з педагогічними працівниками у І семестрі 2025/2026 навчального року</w:t>
      </w:r>
      <w:r w:rsidRPr="00DB086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та розміщено “Звіт </w:t>
      </w:r>
      <w:r w:rsidRPr="002E31E5">
        <w:rPr>
          <w:sz w:val="28"/>
          <w:szCs w:val="28"/>
          <w:lang w:val="uk-UA"/>
        </w:rPr>
        <w:t>за проведену методичну роботу у Чернівецькій гімназії № 19 за І семестр 2025/2026 навчального року</w:t>
      </w:r>
      <w:r>
        <w:rPr>
          <w:sz w:val="28"/>
          <w:szCs w:val="28"/>
          <w:lang w:val="uk-UA"/>
        </w:rPr>
        <w:t xml:space="preserve">” на сайті гімназії: </w:t>
      </w:r>
      <w:hyperlink r:id="rId5" w:history="1">
        <w:r w:rsidRPr="007E6A6E">
          <w:rPr>
            <w:rStyle w:val="a4"/>
            <w:sz w:val="28"/>
            <w:szCs w:val="28"/>
            <w:lang w:val="uk-UA"/>
          </w:rPr>
          <w:t>https://surl.li/tvozto</w:t>
        </w:r>
      </w:hyperlink>
      <w:r>
        <w:rPr>
          <w:sz w:val="28"/>
          <w:szCs w:val="28"/>
          <w:lang w:val="uk-UA"/>
        </w:rPr>
        <w:t xml:space="preserve">. </w:t>
      </w:r>
      <w:r w:rsidRPr="002E31E5">
        <w:rPr>
          <w:sz w:val="28"/>
          <w:szCs w:val="28"/>
          <w:lang w:val="uk-UA"/>
        </w:rPr>
        <w:t xml:space="preserve"> </w:t>
      </w:r>
      <w:r w:rsidRPr="00406DFC">
        <w:rPr>
          <w:sz w:val="28"/>
          <w:szCs w:val="28"/>
          <w:lang w:val="uk-UA"/>
        </w:rPr>
        <w:t>На виконання наказу від 28.08.2025 № 125  “Про структуру та організацію методичної роботи у Чернівецькій гімназії №19 на 2025/2026 н.р.”</w:t>
      </w:r>
      <w:r>
        <w:rPr>
          <w:sz w:val="28"/>
          <w:szCs w:val="28"/>
          <w:lang w:val="uk-UA"/>
        </w:rPr>
        <w:t xml:space="preserve">. Упродовж </w:t>
      </w:r>
      <w:r w:rsidRPr="00A75370">
        <w:rPr>
          <w:sz w:val="28"/>
          <w:szCs w:val="28"/>
          <w:lang w:val="uk-UA"/>
        </w:rPr>
        <w:t>ІІ семестрі 2025/2026 навчального року” було сплановано та продовжено методичну роботу за основними напрямами.</w:t>
      </w:r>
    </w:p>
    <w:p w:rsidR="00CD289E" w:rsidRPr="00C062ED" w:rsidRDefault="00CD289E" w:rsidP="00CD289E">
      <w:pPr>
        <w:pStyle w:val="a3"/>
        <w:ind w:left="-142" w:firstLine="567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6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метою цілеспрямованої методичної роботи та для забезпечення колективного керівництва методичною роботою установчим наказом №125, зазначеним вище, було затверджено склад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86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 план роботи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7-ми </w:t>
      </w:r>
      <w:r w:rsidRPr="0086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професійних спільнот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педагогічних працівників </w:t>
      </w:r>
      <w:r w:rsidRPr="00862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2025/2026 н.р.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котрі продовжили свою роботу</w:t>
      </w:r>
      <w:r w:rsidRPr="00A34E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62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CD289E" w:rsidRPr="00561591" w:rsidRDefault="00CD289E" w:rsidP="00CD289E">
      <w:pPr>
        <w:pStyle w:val="a3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Разом із тим постало питання про доцільність повноважень </w:t>
      </w:r>
      <w:r w:rsidRPr="00114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методичної ради</w:t>
      </w:r>
      <w:r w:rsidRPr="0056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гімназії. Робочою групою 1 грудня 2025 року представлено на засіданні методичної ради гімназії питання про припинення її діяльності. Це не просте рішення, котре продиктоване вимогами часу. А саме, з метою усунення дублювання функцій методичної ради як колегіального дорадчого органу педагогічних працівників для планування та координації методичної роботи, обговорення проєктів нормативних, навчально-методичних документів, розроблення рекомендацій з удосконалення якості освітнього процесу в гімназії;</w:t>
      </w:r>
    </w:p>
    <w:p w:rsidR="00CD289E" w:rsidRPr="00A56B19" w:rsidRDefault="00CD289E" w:rsidP="00CD289E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тими ж повноваженнями Педагогічної ради. Було схвалено пропозицію щодо призупинення діяльності методичної ради, яку винесено на розгляд Педагогічної ради та схвалено рішенням від 02 грудня 2025 року протоколом Педагогічної ради № 2 і затверджено наказом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05.01.2026 </w:t>
      </w:r>
      <w:r w:rsidRPr="0056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591">
        <w:rPr>
          <w:rFonts w:ascii="Times New Roman" w:hAnsi="Times New Roman"/>
          <w:sz w:val="28"/>
          <w:szCs w:val="28"/>
        </w:rPr>
        <w:t>№ 6</w:t>
      </w:r>
      <w:r w:rsidRPr="00561591">
        <w:rPr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 </w:t>
      </w:r>
      <w:r w:rsidRPr="00561591">
        <w:rPr>
          <w:rFonts w:ascii="Times New Roman" w:hAnsi="Times New Roman"/>
          <w:sz w:val="28"/>
          <w:szCs w:val="28"/>
        </w:rPr>
        <w:t xml:space="preserve">§2 </w:t>
      </w:r>
      <w:r w:rsidRPr="00561591">
        <w:rPr>
          <w:rFonts w:ascii="Times New Roman" w:hAnsi="Times New Roman" w:cs="Times New Roman"/>
          <w:sz w:val="28"/>
          <w:szCs w:val="28"/>
        </w:rPr>
        <w:t xml:space="preserve">“Про припинення діяльності методичної ради гімназії”. </w:t>
      </w:r>
      <w:r w:rsidRPr="0056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роботи </w:t>
      </w:r>
      <w:proofErr w:type="spellStart"/>
      <w:r w:rsidRPr="00561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дорадчо-консультатвних</w:t>
      </w:r>
      <w:proofErr w:type="spellEnd"/>
      <w:r w:rsidRPr="0056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органів професійних спільнот педагогічних працівників, то вони продовжують виконувати свої функції, відповідно до оновленого Положення.</w:t>
      </w:r>
    </w:p>
    <w:p w:rsidR="00CD289E" w:rsidRDefault="00CD289E" w:rsidP="00CD289E">
      <w:pPr>
        <w:ind w:firstLine="567"/>
        <w:rPr>
          <w:sz w:val="28"/>
          <w:szCs w:val="28"/>
          <w:lang w:val="uk-UA"/>
        </w:rPr>
      </w:pPr>
      <w:r>
        <w:rPr>
          <w:color w:val="212121"/>
          <w:sz w:val="28"/>
          <w:szCs w:val="28"/>
          <w:lang w:val="uk-UA"/>
        </w:rPr>
        <w:lastRenderedPageBreak/>
        <w:t>Н</w:t>
      </w:r>
      <w:r w:rsidRPr="00DB086E">
        <w:rPr>
          <w:sz w:val="28"/>
          <w:szCs w:val="28"/>
          <w:lang w:val="uk-UA"/>
        </w:rPr>
        <w:t>а виконання наказу від 0</w:t>
      </w:r>
      <w:r>
        <w:rPr>
          <w:sz w:val="28"/>
          <w:szCs w:val="28"/>
          <w:lang w:val="uk-UA"/>
        </w:rPr>
        <w:t>4</w:t>
      </w:r>
      <w:r w:rsidRPr="00DB086E">
        <w:rPr>
          <w:sz w:val="28"/>
          <w:szCs w:val="28"/>
          <w:lang w:val="uk-UA"/>
        </w:rPr>
        <w:t>.09.202</w:t>
      </w:r>
      <w:r>
        <w:rPr>
          <w:sz w:val="28"/>
          <w:szCs w:val="28"/>
          <w:lang w:val="uk-UA"/>
        </w:rPr>
        <w:t>5</w:t>
      </w:r>
      <w:r w:rsidRPr="00DB086E">
        <w:rPr>
          <w:sz w:val="28"/>
          <w:szCs w:val="28"/>
          <w:lang w:val="uk-UA"/>
        </w:rPr>
        <w:t xml:space="preserve"> № </w:t>
      </w:r>
      <w:r w:rsidRPr="001D5420">
        <w:rPr>
          <w:sz w:val="28"/>
          <w:szCs w:val="28"/>
          <w:lang w:val="uk-UA"/>
        </w:rPr>
        <w:t xml:space="preserve">152§2 </w:t>
      </w:r>
      <w:r w:rsidRPr="00DB086E">
        <w:rPr>
          <w:sz w:val="28"/>
          <w:szCs w:val="28"/>
          <w:lang w:val="uk-UA"/>
        </w:rPr>
        <w:t>“</w:t>
      </w:r>
      <w:r w:rsidRPr="001D5420">
        <w:rPr>
          <w:sz w:val="28"/>
          <w:szCs w:val="28"/>
          <w:lang w:val="uk-UA"/>
        </w:rPr>
        <w:t xml:space="preserve">Про проведення </w:t>
      </w:r>
      <w:r w:rsidRPr="00063E92">
        <w:rPr>
          <w:b/>
          <w:sz w:val="28"/>
          <w:szCs w:val="28"/>
          <w:lang w:val="uk-UA"/>
        </w:rPr>
        <w:t>предметних, тематичних тижнів</w:t>
      </w:r>
      <w:r w:rsidRPr="001D5420">
        <w:rPr>
          <w:sz w:val="28"/>
          <w:szCs w:val="28"/>
          <w:lang w:val="uk-UA"/>
        </w:rPr>
        <w:t xml:space="preserve"> та методичних декад у 2025/2026 н.р.</w:t>
      </w:r>
      <w:r w:rsidRPr="00DB086E">
        <w:rPr>
          <w:sz w:val="28"/>
          <w:szCs w:val="28"/>
          <w:lang w:val="uk-UA"/>
        </w:rPr>
        <w:t>” проведено 1</w:t>
      </w:r>
      <w:r>
        <w:rPr>
          <w:sz w:val="28"/>
          <w:szCs w:val="28"/>
          <w:lang w:val="uk-UA"/>
        </w:rPr>
        <w:t>5</w:t>
      </w:r>
      <w:r w:rsidRPr="00DB086E">
        <w:rPr>
          <w:sz w:val="28"/>
          <w:szCs w:val="28"/>
          <w:lang w:val="uk-UA"/>
        </w:rPr>
        <w:t xml:space="preserve"> тижнів, Година Коду та День Безпечного Інтернету</w:t>
      </w:r>
      <w:r>
        <w:rPr>
          <w:sz w:val="28"/>
          <w:szCs w:val="28"/>
          <w:lang w:val="uk-UA"/>
        </w:rPr>
        <w:t xml:space="preserve"> та “Місяць</w:t>
      </w:r>
      <w:r w:rsidRPr="00264D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STEM</w:t>
      </w:r>
      <w:r>
        <w:rPr>
          <w:sz w:val="28"/>
          <w:szCs w:val="28"/>
          <w:lang w:val="uk-UA"/>
        </w:rPr>
        <w:t>”. Повністю виконано “Графік проведення внутрішкільного моніторингу стану викладання предметів та освітніх галузей у 2025/2026 навчальному році”, затвердженого наказом від 03.09.2025 №149 “</w:t>
      </w:r>
      <w:r w:rsidRPr="00056B7A">
        <w:rPr>
          <w:sz w:val="28"/>
          <w:szCs w:val="28"/>
          <w:lang w:val="uk-UA"/>
        </w:rPr>
        <w:t>Про підготовку та проведення моніторингу якості знань учнів у 2025/2026 н.р.</w:t>
      </w:r>
      <w:r>
        <w:rPr>
          <w:sz w:val="28"/>
          <w:szCs w:val="28"/>
          <w:lang w:val="uk-UA"/>
        </w:rPr>
        <w:t xml:space="preserve">”. </w:t>
      </w:r>
      <w:r w:rsidRPr="00DB086E">
        <w:rPr>
          <w:sz w:val="28"/>
          <w:szCs w:val="28"/>
          <w:lang w:val="uk-UA"/>
        </w:rPr>
        <w:t>Результати проведення опрацьовані, проаналізовані та зафіксовані відповідними наказами.</w:t>
      </w:r>
    </w:p>
    <w:p w:rsidR="00CD289E" w:rsidRPr="00DB086E" w:rsidRDefault="00CD289E" w:rsidP="00CD289E">
      <w:pPr>
        <w:ind w:firstLine="567"/>
        <w:rPr>
          <w:sz w:val="28"/>
          <w:szCs w:val="28"/>
          <w:lang w:val="uk-UA"/>
        </w:rPr>
      </w:pPr>
      <w:r w:rsidRPr="00DB086E"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До </w:t>
      </w:r>
      <w:r w:rsidRPr="00DB086E">
        <w:rPr>
          <w:rFonts w:eastAsia="Calibri"/>
          <w:sz w:val="28"/>
          <w:szCs w:val="28"/>
          <w:lang w:val="uk-UA"/>
        </w:rPr>
        <w:t xml:space="preserve">процесу </w:t>
      </w:r>
      <w:r w:rsidRPr="00063E92">
        <w:rPr>
          <w:rFonts w:eastAsia="Calibri"/>
          <w:b/>
          <w:sz w:val="28"/>
          <w:szCs w:val="28"/>
          <w:lang w:val="uk-UA"/>
        </w:rPr>
        <w:t>атестації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DB086E">
        <w:rPr>
          <w:sz w:val="28"/>
          <w:szCs w:val="28"/>
          <w:lang w:val="uk-UA"/>
        </w:rPr>
        <w:t xml:space="preserve">були залучені усі педагогічні працівники, адже процес атестації є безперервним упродовж усього </w:t>
      </w:r>
      <w:proofErr w:type="spellStart"/>
      <w:r w:rsidRPr="00DB086E">
        <w:rPr>
          <w:sz w:val="28"/>
          <w:szCs w:val="28"/>
          <w:lang w:val="uk-UA"/>
        </w:rPr>
        <w:t>міжатестаційного</w:t>
      </w:r>
      <w:proofErr w:type="spellEnd"/>
      <w:r w:rsidRPr="00DB086E">
        <w:rPr>
          <w:sz w:val="28"/>
          <w:szCs w:val="28"/>
          <w:lang w:val="uk-UA"/>
        </w:rPr>
        <w:t xml:space="preserve"> періоду. Так продовжено реєстрацію педагогічних працівників на  платформі для цифровізації атестаційного процесу – Єдина атестаційна система (ЄАС). Наразі на даній платформі вже зареєстровано  </w:t>
      </w:r>
      <w:r>
        <w:rPr>
          <w:sz w:val="28"/>
          <w:szCs w:val="28"/>
          <w:lang w:val="uk-UA"/>
        </w:rPr>
        <w:t>49</w:t>
      </w:r>
      <w:r w:rsidRPr="00DB086E">
        <w:rPr>
          <w:sz w:val="28"/>
          <w:szCs w:val="28"/>
          <w:lang w:val="uk-UA"/>
        </w:rPr>
        <w:t xml:space="preserve"> особистих кабінетів із 5</w:t>
      </w:r>
      <w:r>
        <w:rPr>
          <w:sz w:val="28"/>
          <w:szCs w:val="28"/>
          <w:lang w:val="uk-UA"/>
        </w:rPr>
        <w:t>1</w:t>
      </w:r>
      <w:r w:rsidRPr="00DB086E">
        <w:rPr>
          <w:sz w:val="28"/>
          <w:szCs w:val="28"/>
          <w:lang w:val="uk-UA"/>
        </w:rPr>
        <w:t xml:space="preserve"> педагогів гімназії. Загалом атестацію у цьому навчальному році пройшли 11 педагогічних працівників, двоє позачергово. Усі підтвердили раніше встановлену </w:t>
      </w:r>
      <w:r>
        <w:rPr>
          <w:sz w:val="28"/>
          <w:szCs w:val="28"/>
          <w:lang w:val="uk-UA"/>
        </w:rPr>
        <w:t>кваліфікаційну категорію, двоє педагогів отримали педагогічне звання та п’ятеро вчителів підвищили свою кваліфікаційну категорію</w:t>
      </w:r>
      <w:r w:rsidRPr="00DB086E">
        <w:rPr>
          <w:sz w:val="28"/>
          <w:szCs w:val="28"/>
          <w:lang w:val="uk-UA"/>
        </w:rPr>
        <w:t xml:space="preserve"> Результати роботи атестаційної комісію було затверджено наказом від 2</w:t>
      </w:r>
      <w:r>
        <w:rPr>
          <w:sz w:val="28"/>
          <w:szCs w:val="28"/>
          <w:lang w:val="uk-UA"/>
        </w:rPr>
        <w:t>6</w:t>
      </w:r>
      <w:r w:rsidRPr="00DB086E">
        <w:rPr>
          <w:sz w:val="28"/>
          <w:szCs w:val="28"/>
          <w:lang w:val="uk-UA"/>
        </w:rPr>
        <w:t>.03.2</w:t>
      </w:r>
      <w:r>
        <w:rPr>
          <w:sz w:val="28"/>
          <w:szCs w:val="28"/>
          <w:lang w:val="uk-UA"/>
        </w:rPr>
        <w:t>6</w:t>
      </w:r>
      <w:r w:rsidRPr="00DB086E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58</w:t>
      </w:r>
      <w:r w:rsidRPr="00DB086E">
        <w:rPr>
          <w:sz w:val="28"/>
          <w:szCs w:val="28"/>
          <w:lang w:val="uk-UA"/>
        </w:rPr>
        <w:t xml:space="preserve"> “</w:t>
      </w:r>
      <w:r w:rsidRPr="004A06EF">
        <w:rPr>
          <w:sz w:val="28"/>
          <w:szCs w:val="28"/>
          <w:lang w:val="uk-UA"/>
        </w:rPr>
        <w:t>Про результати атестації педагогічних працівників  у 2025/2026 навчальному році</w:t>
      </w:r>
      <w:r w:rsidRPr="00DB086E">
        <w:rPr>
          <w:sz w:val="28"/>
          <w:szCs w:val="28"/>
          <w:lang w:val="uk-UA"/>
        </w:rPr>
        <w:t xml:space="preserve">” у встановлений законодавством термін. </w:t>
      </w:r>
    </w:p>
    <w:p w:rsidR="00CD289E" w:rsidRDefault="00CD289E" w:rsidP="00CD289E">
      <w:pPr>
        <w:ind w:firstLine="709"/>
        <w:contextualSpacing/>
        <w:rPr>
          <w:sz w:val="28"/>
          <w:szCs w:val="28"/>
          <w:lang w:val="uk-UA"/>
        </w:rPr>
      </w:pPr>
      <w:r w:rsidRPr="00DB086E">
        <w:rPr>
          <w:sz w:val="28"/>
          <w:szCs w:val="28"/>
          <w:lang w:val="uk-UA"/>
        </w:rPr>
        <w:t xml:space="preserve">Для виконання умов звітності педагога  про </w:t>
      </w:r>
      <w:r w:rsidRPr="00DB086E">
        <w:rPr>
          <w:b/>
          <w:sz w:val="28"/>
          <w:szCs w:val="28"/>
          <w:lang w:val="uk-UA"/>
        </w:rPr>
        <w:t>підвищення кваліфікації</w:t>
      </w:r>
      <w:r w:rsidRPr="00DB086E">
        <w:rPr>
          <w:sz w:val="28"/>
          <w:szCs w:val="28"/>
          <w:lang w:val="uk-UA"/>
        </w:rPr>
        <w:t xml:space="preserve"> підготовано для схвалення педагогічною радою “Реєстр сертифікатів підвищення кваліфікації педагогічних  працівників Чернівецької гімназії № 19 </w:t>
      </w:r>
      <w:r w:rsidRPr="00A34E5D">
        <w:rPr>
          <w:sz w:val="28"/>
          <w:szCs w:val="28"/>
          <w:lang w:val="uk-UA"/>
        </w:rPr>
        <w:t xml:space="preserve">Чернівецької міської ради за 2025 рік”, збережено як паперовий так і електронний примірник </w:t>
      </w:r>
      <w:hyperlink r:id="rId6" w:history="1">
        <w:r w:rsidRPr="00A34E5D">
          <w:rPr>
            <w:rStyle w:val="a4"/>
            <w:sz w:val="28"/>
            <w:szCs w:val="28"/>
            <w:lang w:val="uk-UA"/>
          </w:rPr>
          <w:t>https://surl.li/dvnxct</w:t>
        </w:r>
      </w:hyperlink>
      <w:r w:rsidRPr="00A34E5D">
        <w:rPr>
          <w:sz w:val="28"/>
          <w:szCs w:val="28"/>
          <w:lang w:val="uk-UA"/>
        </w:rPr>
        <w:t>. Централізовано нашими педагогічними працівниками було пройдено курс "Психосоціальна підтримка та педагогічний дизайн освітнього процесу"(30 годин), котрий провели педагоги Інститутом післядипломної педагогічної освіти Чернівецької області. Курси тривали з 20 по 29 січня 2025 року, пройшли курси 48 педагогів гімназії. На підсумок ІППОЧО було проведено круглий стіл на базі нашої гімназії.</w:t>
      </w:r>
    </w:p>
    <w:p w:rsidR="00CD289E" w:rsidRDefault="00CD289E" w:rsidP="00CD289E">
      <w:pPr>
        <w:ind w:firstLine="709"/>
        <w:contextualSpacing/>
        <w:rPr>
          <w:sz w:val="28"/>
          <w:szCs w:val="28"/>
          <w:lang w:val="uk-UA"/>
        </w:rPr>
      </w:pPr>
      <w:r w:rsidRPr="00DB08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Професійними спільнотами педагогічних працівників гімназії були складені аналітичні звіти своєї діяльності за 2025/2026 навчальний рік та розміщені на сайті у рубриці “Методична робота – професійні спільноти”:</w:t>
      </w:r>
    </w:p>
    <w:p w:rsidR="00CD289E" w:rsidRPr="00121111" w:rsidRDefault="00CD289E" w:rsidP="00CD289E">
      <w:pPr>
        <w:pStyle w:val="a3"/>
        <w:numPr>
          <w:ilvl w:val="0"/>
          <w:numId w:val="1"/>
        </w:numPr>
        <w:spacing w:after="0"/>
        <w:ind w:left="284" w:hanging="284"/>
        <w:contextualSpacing w:val="0"/>
        <w:rPr>
          <w:rFonts w:ascii="Times New Roman" w:hAnsi="Times New Roman" w:cs="Times New Roman"/>
          <w:sz w:val="28"/>
          <w:szCs w:val="28"/>
        </w:rPr>
      </w:pPr>
      <w:r w:rsidRPr="00121111">
        <w:rPr>
          <w:rFonts w:ascii="Times New Roman" w:hAnsi="Times New Roman" w:cs="Times New Roman"/>
          <w:sz w:val="28"/>
          <w:szCs w:val="28"/>
        </w:rPr>
        <w:t xml:space="preserve">Вчителів початкових класів та вихователів груп продовженого дня - </w:t>
      </w:r>
      <w:hyperlink r:id="rId7" w:history="1">
        <w:r w:rsidRPr="0012111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https://surl.li/rttbjh</w:t>
        </w:r>
      </w:hyperlink>
      <w:r w:rsidRPr="00121111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CD289E" w:rsidRPr="00121111" w:rsidRDefault="00CD289E" w:rsidP="00CD289E">
      <w:pPr>
        <w:pStyle w:val="a3"/>
        <w:numPr>
          <w:ilvl w:val="0"/>
          <w:numId w:val="1"/>
        </w:numPr>
        <w:spacing w:after="0"/>
        <w:ind w:left="284" w:hanging="284"/>
        <w:contextualSpacing w:val="0"/>
        <w:rPr>
          <w:rFonts w:ascii="Times New Roman" w:hAnsi="Times New Roman" w:cs="Times New Roman"/>
          <w:sz w:val="28"/>
          <w:szCs w:val="28"/>
        </w:rPr>
      </w:pPr>
      <w:r w:rsidRPr="00121111">
        <w:rPr>
          <w:rFonts w:ascii="Times New Roman" w:hAnsi="Times New Roman" w:cs="Times New Roman"/>
          <w:sz w:val="28"/>
          <w:szCs w:val="28"/>
        </w:rPr>
        <w:t xml:space="preserve">Вчителів суспільно-гуманітарного циклу - </w:t>
      </w:r>
      <w:hyperlink r:id="rId8" w:history="1">
        <w:r w:rsidRPr="0012111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https://surl.li/jmyzam</w:t>
        </w:r>
      </w:hyperlink>
      <w:r w:rsidRPr="00121111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CD289E" w:rsidRPr="00121111" w:rsidRDefault="00CD289E" w:rsidP="00CD289E">
      <w:pPr>
        <w:pStyle w:val="a3"/>
        <w:numPr>
          <w:ilvl w:val="0"/>
          <w:numId w:val="1"/>
        </w:numPr>
        <w:spacing w:after="0"/>
        <w:ind w:left="284" w:hanging="284"/>
        <w:contextualSpacing w:val="0"/>
        <w:rPr>
          <w:rFonts w:ascii="Times New Roman" w:hAnsi="Times New Roman" w:cs="Times New Roman"/>
          <w:sz w:val="28"/>
          <w:szCs w:val="28"/>
        </w:rPr>
      </w:pPr>
      <w:r w:rsidRPr="00121111">
        <w:rPr>
          <w:rFonts w:ascii="Times New Roman" w:hAnsi="Times New Roman" w:cs="Times New Roman"/>
          <w:sz w:val="28"/>
          <w:szCs w:val="28"/>
        </w:rPr>
        <w:t xml:space="preserve">Вчителів природничого – математичного циклу - </w:t>
      </w:r>
      <w:hyperlink r:id="rId9" w:history="1">
        <w:r w:rsidRPr="0012111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https://surl.lt/bobsox</w:t>
        </w:r>
      </w:hyperlink>
      <w:r w:rsidRPr="00121111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CD289E" w:rsidRPr="00121111" w:rsidRDefault="00CD289E" w:rsidP="00CD289E">
      <w:pPr>
        <w:pStyle w:val="a3"/>
        <w:numPr>
          <w:ilvl w:val="0"/>
          <w:numId w:val="1"/>
        </w:numPr>
        <w:spacing w:after="0"/>
        <w:ind w:left="284" w:hanging="284"/>
        <w:contextualSpacing w:val="0"/>
        <w:rPr>
          <w:rFonts w:ascii="Times New Roman" w:hAnsi="Times New Roman" w:cs="Times New Roman"/>
          <w:sz w:val="28"/>
          <w:szCs w:val="28"/>
        </w:rPr>
      </w:pPr>
      <w:r w:rsidRPr="00121111">
        <w:rPr>
          <w:rFonts w:ascii="Times New Roman" w:hAnsi="Times New Roman" w:cs="Times New Roman"/>
          <w:sz w:val="28"/>
          <w:szCs w:val="28"/>
        </w:rPr>
        <w:t xml:space="preserve">Вчителів іноземних мов та зарубіжної  літератури - </w:t>
      </w:r>
      <w:hyperlink r:id="rId10" w:history="1">
        <w:r w:rsidRPr="0012111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https://surl.li/bvcvoo</w:t>
        </w:r>
      </w:hyperlink>
      <w:r w:rsidRPr="00121111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CD289E" w:rsidRPr="00121111" w:rsidRDefault="00CD289E" w:rsidP="00CD289E">
      <w:pPr>
        <w:pStyle w:val="a3"/>
        <w:numPr>
          <w:ilvl w:val="0"/>
          <w:numId w:val="1"/>
        </w:numPr>
        <w:spacing w:after="0"/>
        <w:ind w:left="284" w:hanging="284"/>
        <w:contextualSpacing w:val="0"/>
        <w:rPr>
          <w:rFonts w:ascii="Times New Roman" w:hAnsi="Times New Roman" w:cs="Times New Roman"/>
          <w:sz w:val="28"/>
          <w:szCs w:val="28"/>
        </w:rPr>
      </w:pPr>
      <w:r w:rsidRPr="00121111">
        <w:rPr>
          <w:rFonts w:ascii="Times New Roman" w:hAnsi="Times New Roman" w:cs="Times New Roman"/>
          <w:sz w:val="28"/>
          <w:szCs w:val="28"/>
        </w:rPr>
        <w:t xml:space="preserve">Вчителів естетично - оздоровчого циклу - </w:t>
      </w:r>
      <w:hyperlink r:id="rId11" w:history="1">
        <w:r w:rsidRPr="0012111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https://surl.li/obfbvp</w:t>
        </w:r>
      </w:hyperlink>
      <w:r w:rsidRPr="00121111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CD289E" w:rsidRPr="00121111" w:rsidRDefault="00CD289E" w:rsidP="00CD289E">
      <w:pPr>
        <w:pStyle w:val="a3"/>
        <w:numPr>
          <w:ilvl w:val="0"/>
          <w:numId w:val="1"/>
        </w:numPr>
        <w:spacing w:after="0"/>
        <w:ind w:left="284" w:hanging="284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Асистентів вчителів інклюзивних класів - </w:t>
      </w:r>
      <w:hyperlink r:id="rId12" w:history="1">
        <w:r w:rsidRPr="00121111">
          <w:rPr>
            <w:rStyle w:val="a4"/>
            <w:rFonts w:ascii="Times New Roman" w:hAnsi="Times New Roman" w:cs="Times New Roman"/>
            <w:sz w:val="28"/>
            <w:szCs w:val="28"/>
          </w:rPr>
          <w:t>zvit-roboty-asyst.-vch.-25-26.docx</w:t>
        </w:r>
      </w:hyperlink>
      <w:r w:rsidRPr="00121111">
        <w:rPr>
          <w:rFonts w:ascii="Times New Roman" w:hAnsi="Times New Roman" w:cs="Times New Roman"/>
        </w:rPr>
        <w:t xml:space="preserve"> </w:t>
      </w:r>
      <w:r w:rsidRPr="001211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289E" w:rsidRPr="00121111" w:rsidRDefault="00CD289E" w:rsidP="00CD289E">
      <w:pPr>
        <w:pStyle w:val="a3"/>
        <w:numPr>
          <w:ilvl w:val="0"/>
          <w:numId w:val="1"/>
        </w:numPr>
        <w:spacing w:after="0"/>
        <w:ind w:left="284" w:hanging="284"/>
        <w:contextualSpacing w:val="0"/>
        <w:rPr>
          <w:rFonts w:ascii="Times New Roman" w:hAnsi="Times New Roman" w:cs="Times New Roman"/>
          <w:sz w:val="28"/>
          <w:szCs w:val="28"/>
        </w:rPr>
      </w:pPr>
      <w:r w:rsidRPr="00121111">
        <w:rPr>
          <w:rFonts w:ascii="Times New Roman" w:hAnsi="Times New Roman" w:cs="Times New Roman"/>
          <w:sz w:val="28"/>
          <w:szCs w:val="28"/>
        </w:rPr>
        <w:t xml:space="preserve">Класних керівників - </w:t>
      </w:r>
      <w:hyperlink r:id="rId13" w:history="1">
        <w:r w:rsidRPr="0012111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https://surl.li/eklsvz</w:t>
        </w:r>
      </w:hyperlink>
      <w:r w:rsidRPr="00121111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CD289E" w:rsidRPr="00DB086E" w:rsidRDefault="00CD289E" w:rsidP="00CD289E">
      <w:pPr>
        <w:contextualSpacing/>
        <w:rPr>
          <w:sz w:val="28"/>
          <w:szCs w:val="28"/>
          <w:lang w:val="uk-UA"/>
        </w:rPr>
      </w:pPr>
      <w:r w:rsidRPr="00DB086E">
        <w:rPr>
          <w:sz w:val="28"/>
          <w:szCs w:val="28"/>
          <w:lang w:val="uk-UA"/>
        </w:rPr>
        <w:tab/>
        <w:t xml:space="preserve">      Одним із напрямків діяльності було </w:t>
      </w:r>
      <w:r>
        <w:rPr>
          <w:sz w:val="28"/>
          <w:szCs w:val="28"/>
          <w:lang w:val="uk-UA"/>
        </w:rPr>
        <w:t>продовження</w:t>
      </w:r>
      <w:r w:rsidRPr="00DB086E">
        <w:rPr>
          <w:sz w:val="28"/>
          <w:szCs w:val="28"/>
          <w:lang w:val="uk-UA"/>
        </w:rPr>
        <w:t xml:space="preserve"> педагогічної інтернатури. Під керівництвом вчителів-наставників, реалізуючи Програму </w:t>
      </w:r>
      <w:r w:rsidRPr="00DB086E">
        <w:rPr>
          <w:sz w:val="28"/>
          <w:szCs w:val="28"/>
          <w:lang w:val="uk-UA"/>
        </w:rPr>
        <w:lastRenderedPageBreak/>
        <w:t>педагогічної інтернатури, відбувся успішний</w:t>
      </w:r>
      <w:r w:rsidRPr="00DB086E">
        <w:rPr>
          <w:sz w:val="28"/>
          <w:szCs w:val="28"/>
          <w:lang w:val="uk-UA"/>
        </w:rPr>
        <w:tab/>
        <w:t>старт</w:t>
      </w:r>
      <w:r w:rsidRPr="00DB086E">
        <w:rPr>
          <w:sz w:val="28"/>
          <w:szCs w:val="28"/>
          <w:lang w:val="uk-UA"/>
        </w:rPr>
        <w:tab/>
        <w:t xml:space="preserve">педагогічної діяльності  двох новопризначених працівників. </w:t>
      </w:r>
    </w:p>
    <w:p w:rsidR="00CD289E" w:rsidRPr="00AC55A7" w:rsidRDefault="00CD289E" w:rsidP="00CD289E">
      <w:pPr>
        <w:pStyle w:val="1"/>
        <w:ind w:right="-142" w:firstLine="57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086E">
        <w:rPr>
          <w:rFonts w:ascii="Times New Roman" w:hAnsi="Times New Roman"/>
          <w:color w:val="000000" w:themeColor="text1"/>
          <w:sz w:val="28"/>
          <w:szCs w:val="28"/>
        </w:rPr>
        <w:t xml:space="preserve">За ініціативи методичної ради Чернівецької гімназії № 19 було підготовлено та проведено </w:t>
      </w:r>
      <w:r>
        <w:rPr>
          <w:rFonts w:ascii="Times New Roman" w:hAnsi="Times New Roman"/>
          <w:color w:val="000000" w:themeColor="text1"/>
          <w:sz w:val="28"/>
          <w:szCs w:val="28"/>
        </w:rPr>
        <w:t>другу</w:t>
      </w:r>
      <w:r w:rsidRPr="00DB086E">
        <w:rPr>
          <w:rFonts w:ascii="Times New Roman" w:hAnsi="Times New Roman"/>
          <w:color w:val="000000" w:themeColor="text1"/>
          <w:sz w:val="28"/>
          <w:szCs w:val="28"/>
        </w:rPr>
        <w:t xml:space="preserve"> учнівську </w:t>
      </w:r>
      <w:r w:rsidRPr="00DB086E">
        <w:rPr>
          <w:rFonts w:ascii="Times New Roman" w:hAnsi="Times New Roman"/>
          <w:b/>
          <w:color w:val="000000" w:themeColor="text1"/>
          <w:sz w:val="28"/>
          <w:szCs w:val="28"/>
        </w:rPr>
        <w:t>дослідницьку конференцію</w:t>
      </w:r>
      <w:r w:rsidRPr="00DB086E">
        <w:rPr>
          <w:rFonts w:ascii="Times New Roman" w:hAnsi="Times New Roman"/>
          <w:color w:val="000000" w:themeColor="text1"/>
          <w:sz w:val="28"/>
          <w:szCs w:val="28"/>
        </w:rPr>
        <w:t xml:space="preserve"> “Кмітливі та допитливі</w:t>
      </w:r>
      <w:r>
        <w:rPr>
          <w:rFonts w:ascii="Times New Roman" w:hAnsi="Times New Roman"/>
          <w:color w:val="000000" w:themeColor="text1"/>
          <w:sz w:val="28"/>
          <w:szCs w:val="28"/>
        </w:rPr>
        <w:t>-256</w:t>
      </w:r>
      <w:r w:rsidRPr="00DB086E">
        <w:rPr>
          <w:rFonts w:ascii="Times New Roman" w:hAnsi="Times New Roman"/>
          <w:color w:val="000000" w:themeColor="text1"/>
          <w:sz w:val="28"/>
          <w:szCs w:val="28"/>
        </w:rPr>
        <w:t xml:space="preserve">”. </w:t>
      </w:r>
      <w:r w:rsidRPr="00DB086E">
        <w:rPr>
          <w:rFonts w:ascii="Times New Roman" w:hAnsi="Times New Roman"/>
          <w:sz w:val="28"/>
          <w:szCs w:val="28"/>
        </w:rPr>
        <w:t xml:space="preserve">На виконання наказу Чернівецької гімназії № 19 Чернівецької міської ради від </w:t>
      </w:r>
      <w:r w:rsidRPr="00DB510B">
        <w:rPr>
          <w:rFonts w:ascii="Times New Roman" w:hAnsi="Times New Roman"/>
          <w:sz w:val="28"/>
          <w:szCs w:val="28"/>
        </w:rPr>
        <w:t xml:space="preserve">05.02.2026 №26 §2 </w:t>
      </w:r>
      <w:r>
        <w:rPr>
          <w:rFonts w:ascii="Times New Roman" w:hAnsi="Times New Roman"/>
          <w:sz w:val="28"/>
          <w:szCs w:val="28"/>
        </w:rPr>
        <w:t>“</w:t>
      </w:r>
      <w:r w:rsidRPr="00DB510B">
        <w:rPr>
          <w:rFonts w:ascii="Times New Roman" w:hAnsi="Times New Roman"/>
          <w:sz w:val="28"/>
          <w:szCs w:val="28"/>
        </w:rPr>
        <w:t>Про проведення учнівської дослідницької конференції “Кмітливі та допитливі - 26”</w:t>
      </w:r>
      <w:r w:rsidRPr="00DB086E">
        <w:rPr>
          <w:rFonts w:ascii="Times New Roman" w:hAnsi="Times New Roman"/>
          <w:sz w:val="28"/>
          <w:szCs w:val="28"/>
        </w:rPr>
        <w:t xml:space="preserve"> (далі Конференція), у встановлені наказом терміни,  було створено електронну реєстраційну форму, визначено напрямки роботи Конференції, узгоджено та затверджено склад організаційного комітету та журі, напрацьовано “Дорожню карту Конференції”.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5A7">
        <w:rPr>
          <w:rFonts w:ascii="Times New Roman" w:hAnsi="Times New Roman"/>
          <w:color w:val="000000" w:themeColor="text1"/>
          <w:sz w:val="28"/>
          <w:szCs w:val="28"/>
        </w:rPr>
        <w:t xml:space="preserve">Учнівську дослідницьку конференцію “Кмітливі та допитливі - 2026” було проведено 17 квітня 2026 року. Визначено переможців – ними стали 16 учасників Конференції. Підсумок Конференції у наказі  від 17.04.2026  № 71 “Про підсумки проведення учнівської дослідницької конференції “Кмітливі та допитливі - 26”. Матеріали конференції розташовані у відповідній рубриці на сайті гімназії  </w:t>
      </w:r>
      <w:hyperlink r:id="rId14" w:history="1">
        <w:r w:rsidRPr="00AC55A7">
          <w:rPr>
            <w:rFonts w:ascii="Times New Roman" w:hAnsi="Times New Roman"/>
            <w:color w:val="000000" w:themeColor="text1"/>
            <w:sz w:val="24"/>
            <w:szCs w:val="24"/>
          </w:rPr>
          <w:t>https://surl.li/cfjxop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AC55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D289E" w:rsidRDefault="00CD289E" w:rsidP="00CD289E">
      <w:pPr>
        <w:pStyle w:val="a3"/>
        <w:widowControl w:val="0"/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color w:val="000000" w:themeColor="text1"/>
          <w:sz w:val="28"/>
          <w:szCs w:val="28"/>
        </w:rPr>
      </w:pPr>
      <w:r w:rsidRPr="00DB086E">
        <w:rPr>
          <w:rFonts w:ascii="Times New Roman" w:hAnsi="Times New Roman"/>
          <w:sz w:val="28"/>
          <w:szCs w:val="28"/>
        </w:rPr>
        <w:tab/>
        <w:t xml:space="preserve">       </w:t>
      </w:r>
      <w:r w:rsidRPr="00E343CA">
        <w:rPr>
          <w:rFonts w:ascii="Times New Roman" w:hAnsi="Times New Roman"/>
          <w:sz w:val="28"/>
          <w:szCs w:val="28"/>
        </w:rPr>
        <w:t xml:space="preserve">Наші </w:t>
      </w:r>
      <w:r w:rsidRPr="00E343CA">
        <w:rPr>
          <w:rFonts w:ascii="Times New Roman" w:hAnsi="Times New Roman"/>
          <w:b/>
          <w:sz w:val="28"/>
          <w:szCs w:val="28"/>
        </w:rPr>
        <w:t>учителі-наставники</w:t>
      </w:r>
      <w:r w:rsidRPr="00E343CA">
        <w:rPr>
          <w:rFonts w:ascii="Times New Roman" w:hAnsi="Times New Roman"/>
          <w:sz w:val="28"/>
          <w:szCs w:val="28"/>
        </w:rPr>
        <w:t xml:space="preserve"> працюють з учнями у позаурочний час,</w:t>
      </w:r>
      <w:r w:rsidRPr="00DB086E">
        <w:rPr>
          <w:rFonts w:ascii="Times New Roman" w:hAnsi="Times New Roman"/>
          <w:sz w:val="28"/>
          <w:szCs w:val="28"/>
        </w:rPr>
        <w:t xml:space="preserve"> приділяють велику увагу інтересам учнів у різних галузях науки та мистецтва. Загалом 1</w:t>
      </w:r>
      <w:r>
        <w:rPr>
          <w:rFonts w:ascii="Times New Roman" w:hAnsi="Times New Roman"/>
          <w:sz w:val="28"/>
          <w:szCs w:val="28"/>
        </w:rPr>
        <w:t>1</w:t>
      </w:r>
      <w:r w:rsidRPr="00DB086E">
        <w:rPr>
          <w:rFonts w:ascii="Times New Roman" w:hAnsi="Times New Roman"/>
          <w:sz w:val="28"/>
          <w:szCs w:val="28"/>
        </w:rPr>
        <w:t xml:space="preserve"> </w:t>
      </w:r>
      <w:r w:rsidRPr="00DB086E">
        <w:rPr>
          <w:rFonts w:ascii="Times New Roman" w:hAnsi="Times New Roman"/>
          <w:color w:val="000000" w:themeColor="text1"/>
          <w:sz w:val="28"/>
          <w:szCs w:val="28"/>
        </w:rPr>
        <w:t xml:space="preserve">учнів нашої гімназії  взяли участь у Всеукраїнських предметних </w:t>
      </w:r>
    </w:p>
    <w:p w:rsidR="00CD289E" w:rsidRPr="00D02072" w:rsidRDefault="00CD289E" w:rsidP="00CD289E">
      <w:pPr>
        <w:pStyle w:val="a3"/>
        <w:widowControl w:val="0"/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олімпіадах</w:t>
      </w:r>
      <w:r w:rsidRPr="005323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B086E">
        <w:rPr>
          <w:rFonts w:ascii="Times New Roman" w:hAnsi="Times New Roman"/>
          <w:color w:val="000000" w:themeColor="text1"/>
          <w:sz w:val="28"/>
          <w:szCs w:val="28"/>
        </w:rPr>
        <w:t>ІІ та ІІІ рівня</w:t>
      </w:r>
      <w:r w:rsidRPr="007D5B4A">
        <w:rPr>
          <w:rFonts w:ascii="Times New Roman" w:hAnsi="Times New Roman"/>
          <w:color w:val="000000" w:themeColor="text1"/>
          <w:sz w:val="28"/>
          <w:szCs w:val="28"/>
        </w:rPr>
        <w:t xml:space="preserve">. Здобули 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7D5B4A">
        <w:rPr>
          <w:rFonts w:ascii="Times New Roman" w:hAnsi="Times New Roman"/>
          <w:color w:val="000000" w:themeColor="text1"/>
          <w:sz w:val="28"/>
          <w:szCs w:val="28"/>
        </w:rPr>
        <w:t xml:space="preserve"> перемог, з них </w:t>
      </w:r>
      <w:r>
        <w:rPr>
          <w:rFonts w:ascii="Times New Roman" w:hAnsi="Times New Roman"/>
          <w:color w:val="000000" w:themeColor="text1"/>
          <w:sz w:val="28"/>
          <w:szCs w:val="28"/>
        </w:rPr>
        <w:t>одне</w:t>
      </w:r>
      <w:r w:rsidRPr="007D5B4A">
        <w:rPr>
          <w:rFonts w:ascii="Times New Roman" w:hAnsi="Times New Roman"/>
          <w:color w:val="000000" w:themeColor="text1"/>
          <w:sz w:val="28"/>
          <w:szCs w:val="28"/>
        </w:rPr>
        <w:t xml:space="preserve"> друг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D5B4A">
        <w:rPr>
          <w:rFonts w:ascii="Times New Roman" w:hAnsi="Times New Roman"/>
          <w:color w:val="000000" w:themeColor="text1"/>
          <w:sz w:val="28"/>
          <w:szCs w:val="28"/>
        </w:rPr>
        <w:t xml:space="preserve"> та п’ять третіх місць. На ІІІ етапі двоє учениць вибороли ІІІ місця. 5 учнів стали фіналістами кубка міста з інженерних наук.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B086E">
        <w:rPr>
          <w:rFonts w:ascii="Times New Roman" w:hAnsi="Times New Roman"/>
          <w:color w:val="000000" w:themeColor="text1"/>
          <w:sz w:val="28"/>
          <w:szCs w:val="28"/>
        </w:rPr>
        <w:t xml:space="preserve">Кожен із них пройшов шляхом </w:t>
      </w:r>
      <w:r w:rsidRPr="00DB086E">
        <w:rPr>
          <w:rFonts w:ascii="Times New Roman" w:hAnsi="Times New Roman"/>
          <w:sz w:val="28"/>
          <w:szCs w:val="28"/>
        </w:rPr>
        <w:t xml:space="preserve">інтенсивної підготовки, відчув на собі дію мозкового штурму, працюючи із своїми наставниками, тому кожен учасник цих та інших змагань – уже переможець. </w:t>
      </w:r>
      <w:r w:rsidRPr="00C21EED">
        <w:rPr>
          <w:rFonts w:ascii="Times New Roman" w:hAnsi="Times New Roman" w:cs="Times New Roman"/>
          <w:sz w:val="28"/>
          <w:szCs w:val="28"/>
        </w:rPr>
        <w:t xml:space="preserve">Також активними були упродовж цього навчального року </w:t>
      </w:r>
      <w:r w:rsidRPr="00C21EED">
        <w:rPr>
          <w:rFonts w:ascii="Times New Roman" w:hAnsi="Times New Roman" w:cs="Times New Roman"/>
          <w:color w:val="000000" w:themeColor="text1"/>
          <w:sz w:val="28"/>
          <w:szCs w:val="28"/>
        </w:rPr>
        <w:t>тандем “учень-вчитель”</w:t>
      </w:r>
      <w:r w:rsidRPr="00C21EED">
        <w:rPr>
          <w:rFonts w:ascii="Times New Roman" w:hAnsi="Times New Roman" w:cs="Times New Roman"/>
          <w:sz w:val="28"/>
          <w:szCs w:val="28"/>
        </w:rPr>
        <w:t xml:space="preserve"> у підготовці до участі у творчих конкурсах</w:t>
      </w:r>
      <w:r>
        <w:rPr>
          <w:rFonts w:ascii="Times New Roman" w:hAnsi="Times New Roman" w:cs="Times New Roman"/>
          <w:sz w:val="28"/>
          <w:szCs w:val="28"/>
        </w:rPr>
        <w:t>, загалом 47 учнів</w:t>
      </w:r>
      <w:r w:rsidRPr="00C21E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02072">
        <w:rPr>
          <w:rFonts w:ascii="Times New Roman" w:hAnsi="Times New Roman" w:cs="Times New Roman"/>
          <w:sz w:val="28"/>
          <w:szCs w:val="28"/>
        </w:rPr>
        <w:t>виконання наказу 26.01.2026 № 21 ”Про підсумки участі учнів гімназії у  Всеукраїнських учнівських олімпіадах з навчальних предметів,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072">
        <w:rPr>
          <w:rFonts w:ascii="Times New Roman" w:hAnsi="Times New Roman" w:cs="Times New Roman"/>
          <w:sz w:val="28"/>
          <w:szCs w:val="28"/>
        </w:rPr>
        <w:t xml:space="preserve">конкурсів, турнірів та змагань у 2025/2026 н.р.” учасники були відзначені адміністрацією гімназії на спеціальному заході “Гордість гімназії”, котрий відбувся 03.03.2026 та був присвяченому  учням-переможцям: </w:t>
      </w:r>
      <w:hyperlink r:id="rId15" w:history="1">
        <w:r w:rsidRPr="00D02072">
          <w:rPr>
            <w:rStyle w:val="a4"/>
            <w:rFonts w:ascii="Times New Roman" w:hAnsi="Times New Roman" w:cs="Times New Roman"/>
            <w:sz w:val="28"/>
            <w:szCs w:val="28"/>
          </w:rPr>
          <w:t>https://surl.lu/lvlvgs</w:t>
        </w:r>
      </w:hyperlink>
      <w:r w:rsidRPr="00D02072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CD289E" w:rsidRPr="00DB086E" w:rsidRDefault="00CD289E" w:rsidP="00CD289E">
      <w:pPr>
        <w:ind w:right="-144" w:firstLine="918"/>
        <w:rPr>
          <w:color w:val="000000" w:themeColor="text1"/>
          <w:sz w:val="28"/>
          <w:szCs w:val="28"/>
          <w:lang w:val="uk-UA"/>
        </w:rPr>
      </w:pPr>
      <w:r w:rsidRPr="00110600">
        <w:rPr>
          <w:sz w:val="28"/>
          <w:szCs w:val="28"/>
          <w:lang w:val="uk-UA"/>
        </w:rPr>
        <w:t xml:space="preserve">Третій рік поспіль триває процес </w:t>
      </w:r>
      <w:r w:rsidRPr="00110600">
        <w:rPr>
          <w:b/>
          <w:sz w:val="28"/>
          <w:szCs w:val="28"/>
          <w:lang w:val="uk-UA"/>
        </w:rPr>
        <w:t>самооцінювання гімназії</w:t>
      </w:r>
      <w:r w:rsidRPr="00110600">
        <w:rPr>
          <w:sz w:val="28"/>
          <w:szCs w:val="28"/>
          <w:lang w:val="uk-UA"/>
        </w:rPr>
        <w:t>. Згідно “</w:t>
      </w:r>
      <w:r w:rsidRPr="00110600">
        <w:rPr>
          <w:color w:val="333333"/>
          <w:sz w:val="28"/>
          <w:szCs w:val="28"/>
          <w:lang w:val="uk-UA"/>
        </w:rPr>
        <w:t>Методики оцінювання освітніх і управлінських процесів ЗЗСО”, наказу МОНУ «Про затвердження методичних рекомендацій з питань формування внутрішньої системи забезпечення якості освіти у ЗЗСО» від 30.11.2020 №1480, Положення про внутрішню систему забезпечення якості освіти в Чернівецькій гімназії № 19,</w:t>
      </w:r>
      <w:r>
        <w:rPr>
          <w:color w:val="333333"/>
          <w:sz w:val="28"/>
          <w:szCs w:val="28"/>
          <w:lang w:val="uk-UA"/>
        </w:rPr>
        <w:t xml:space="preserve"> схваленого наказом від </w:t>
      </w:r>
      <w:r w:rsidRPr="00650624">
        <w:rPr>
          <w:sz w:val="28"/>
          <w:szCs w:val="28"/>
          <w:lang w:val="uk-UA"/>
        </w:rPr>
        <w:t xml:space="preserve">20.01.2025 № </w:t>
      </w:r>
      <w:r w:rsidRPr="00650624">
        <w:rPr>
          <w:bCs/>
          <w:sz w:val="28"/>
          <w:szCs w:val="20"/>
          <w:lang w:val="uk-UA"/>
        </w:rPr>
        <w:t>21</w:t>
      </w:r>
      <w:r>
        <w:rPr>
          <w:bCs/>
          <w:sz w:val="28"/>
          <w:szCs w:val="28"/>
          <w:lang w:val="uk-UA"/>
        </w:rPr>
        <w:t xml:space="preserve"> за рішенням педагогічної ради №4 від 17.01.2025</w:t>
      </w:r>
      <w:r>
        <w:rPr>
          <w:color w:val="333333"/>
          <w:sz w:val="28"/>
          <w:szCs w:val="28"/>
          <w:lang w:val="uk-UA"/>
        </w:rPr>
        <w:t xml:space="preserve">, </w:t>
      </w:r>
      <w:r w:rsidRPr="00DB086E">
        <w:rPr>
          <w:color w:val="333333"/>
          <w:sz w:val="28"/>
          <w:szCs w:val="28"/>
          <w:lang w:val="uk-UA"/>
        </w:rPr>
        <w:t>з метою продовження розбудови внутрішньої системи забезпечення якості освітньої діяльності та якості освіти у школі, постійного підвищення якості освітньої діяльності, використання системного підходу до здійснення моніторингу на всіх етапах освітнього процесу упродовж 202</w:t>
      </w:r>
      <w:r>
        <w:rPr>
          <w:color w:val="333333"/>
          <w:sz w:val="28"/>
          <w:szCs w:val="28"/>
          <w:lang w:val="uk-UA"/>
        </w:rPr>
        <w:t>5</w:t>
      </w:r>
      <w:r w:rsidRPr="00DB086E">
        <w:rPr>
          <w:color w:val="333333"/>
          <w:sz w:val="28"/>
          <w:szCs w:val="28"/>
          <w:lang w:val="uk-UA"/>
        </w:rPr>
        <w:t>/202</w:t>
      </w:r>
      <w:r>
        <w:rPr>
          <w:color w:val="333333"/>
          <w:sz w:val="28"/>
          <w:szCs w:val="28"/>
          <w:lang w:val="uk-UA"/>
        </w:rPr>
        <w:t>6</w:t>
      </w:r>
      <w:r w:rsidRPr="00DB086E">
        <w:rPr>
          <w:color w:val="333333"/>
          <w:sz w:val="28"/>
          <w:szCs w:val="28"/>
          <w:lang w:val="uk-UA"/>
        </w:rPr>
        <w:t xml:space="preserve"> навчального </w:t>
      </w:r>
      <w:r w:rsidRPr="00C57DDD">
        <w:rPr>
          <w:color w:val="333333"/>
          <w:sz w:val="28"/>
          <w:szCs w:val="28"/>
          <w:lang w:val="uk-UA"/>
        </w:rPr>
        <w:t xml:space="preserve">року на виконання наказу </w:t>
      </w:r>
      <w:r w:rsidRPr="00C57DDD">
        <w:rPr>
          <w:color w:val="000000" w:themeColor="text1"/>
          <w:sz w:val="28"/>
          <w:szCs w:val="28"/>
          <w:lang w:val="uk-UA"/>
        </w:rPr>
        <w:t>від 28.08.25 № 126 Про проведення комплексного самооцінювання гімназії у 2025/2026 н.р.” за затвердженим “Орієнтовним планом</w:t>
      </w:r>
      <w:r w:rsidRPr="00DB086E">
        <w:rPr>
          <w:color w:val="000000" w:themeColor="text1"/>
          <w:sz w:val="28"/>
          <w:szCs w:val="28"/>
          <w:lang w:val="uk-UA"/>
        </w:rPr>
        <w:t xml:space="preserve"> роботи робочих груп з проведення комплексного вивчення й самооцінювання якості освітньої </w:t>
      </w:r>
      <w:r w:rsidRPr="00DB086E">
        <w:rPr>
          <w:color w:val="000000" w:themeColor="text1"/>
          <w:sz w:val="28"/>
          <w:szCs w:val="28"/>
          <w:lang w:val="uk-UA"/>
        </w:rPr>
        <w:lastRenderedPageBreak/>
        <w:t>діяльності” та згідно “Критеріям та індикаторам оцінювання освітніх і управлінських процесів закладу освіти та внутрішньої системи забезпечення якості освіти” робочі групи здійснили та узагальнили результати самооцінювання та визначили рівень освітньої діяльності гімназії напрям</w:t>
      </w:r>
      <w:r>
        <w:rPr>
          <w:color w:val="000000" w:themeColor="text1"/>
          <w:sz w:val="28"/>
          <w:szCs w:val="28"/>
          <w:lang w:val="uk-UA"/>
        </w:rPr>
        <w:t>ом</w:t>
      </w:r>
      <w:r w:rsidRPr="00DB086E">
        <w:rPr>
          <w:color w:val="000000" w:themeColor="text1"/>
          <w:sz w:val="28"/>
          <w:szCs w:val="28"/>
          <w:lang w:val="uk-UA"/>
        </w:rPr>
        <w:t>: “</w:t>
      </w:r>
      <w:r>
        <w:rPr>
          <w:color w:val="333333"/>
          <w:sz w:val="28"/>
          <w:szCs w:val="28"/>
          <w:lang w:val="uk-UA"/>
        </w:rPr>
        <w:t>Напрям 1. Освітнє середовище</w:t>
      </w:r>
      <w:r w:rsidRPr="00DB086E">
        <w:rPr>
          <w:color w:val="333333"/>
          <w:sz w:val="28"/>
          <w:szCs w:val="28"/>
          <w:lang w:val="uk-UA"/>
        </w:rPr>
        <w:t>”.</w:t>
      </w:r>
      <w:r>
        <w:rPr>
          <w:color w:val="333333"/>
          <w:sz w:val="28"/>
          <w:szCs w:val="28"/>
          <w:lang w:val="uk-UA"/>
        </w:rPr>
        <w:t xml:space="preserve"> Опитування проведено упродовж листопада-грудня 2025 року на платформі </w:t>
      </w:r>
      <w:proofErr w:type="spellStart"/>
      <w:r>
        <w:rPr>
          <w:color w:val="333333"/>
          <w:sz w:val="28"/>
          <w:szCs w:val="28"/>
          <w:lang w:val="uk-UA"/>
        </w:rPr>
        <w:t>Е</w:t>
      </w:r>
      <w:r w:rsidRPr="002226A5">
        <w:rPr>
          <w:color w:val="333333"/>
          <w:sz w:val="28"/>
          <w:szCs w:val="28"/>
          <w:lang w:val="uk-UA"/>
        </w:rPr>
        <w:t>valued</w:t>
      </w:r>
      <w:proofErr w:type="spellEnd"/>
      <w:r>
        <w:rPr>
          <w:color w:val="333333"/>
          <w:sz w:val="28"/>
          <w:szCs w:val="28"/>
          <w:lang w:val="uk-UA"/>
        </w:rPr>
        <w:t xml:space="preserve"> Державної служби якості освіти України.</w:t>
      </w:r>
    </w:p>
    <w:p w:rsidR="00CD289E" w:rsidRPr="00DB086E" w:rsidRDefault="00CD289E" w:rsidP="00CD289E">
      <w:pPr>
        <w:spacing w:line="276" w:lineRule="auto"/>
        <w:rPr>
          <w:color w:val="000000" w:themeColor="text1"/>
          <w:sz w:val="28"/>
          <w:szCs w:val="28"/>
          <w:lang w:val="uk-UA"/>
        </w:rPr>
      </w:pPr>
      <w:r w:rsidRPr="00DB086E">
        <w:rPr>
          <w:color w:val="000000" w:themeColor="text1"/>
          <w:sz w:val="28"/>
          <w:szCs w:val="28"/>
          <w:lang w:val="uk-UA"/>
        </w:rPr>
        <w:t xml:space="preserve">За результатами видано наказ-узагальнення </w:t>
      </w:r>
      <w:r w:rsidRPr="00665CD2">
        <w:rPr>
          <w:color w:val="000000" w:themeColor="text1"/>
          <w:sz w:val="28"/>
          <w:szCs w:val="28"/>
          <w:lang w:val="uk-UA"/>
        </w:rPr>
        <w:t xml:space="preserve">від 16.06.2025 </w:t>
      </w:r>
      <w:r>
        <w:rPr>
          <w:color w:val="000000" w:themeColor="text1"/>
          <w:sz w:val="28"/>
          <w:szCs w:val="28"/>
          <w:lang w:val="uk-UA"/>
        </w:rPr>
        <w:t>“</w:t>
      </w:r>
      <w:r w:rsidRPr="00665CD2">
        <w:rPr>
          <w:color w:val="000000" w:themeColor="text1"/>
          <w:sz w:val="28"/>
          <w:szCs w:val="28"/>
          <w:lang w:val="uk-UA"/>
        </w:rPr>
        <w:t>Про підсумок самооцінювання за 2025/2026 навчальний рік</w:t>
      </w:r>
      <w:r>
        <w:rPr>
          <w:color w:val="000000" w:themeColor="text1"/>
          <w:sz w:val="28"/>
          <w:szCs w:val="28"/>
          <w:lang w:val="uk-UA"/>
        </w:rPr>
        <w:t>”</w:t>
      </w:r>
      <w:r w:rsidRPr="00DB086E">
        <w:rPr>
          <w:color w:val="000000" w:themeColor="text1"/>
          <w:sz w:val="28"/>
          <w:szCs w:val="28"/>
          <w:lang w:val="uk-UA"/>
        </w:rPr>
        <w:t xml:space="preserve">. </w:t>
      </w:r>
      <w:r w:rsidRPr="00DB086E">
        <w:rPr>
          <w:color w:val="333333"/>
          <w:sz w:val="28"/>
          <w:szCs w:val="28"/>
          <w:lang w:val="uk-UA"/>
        </w:rPr>
        <w:t>Аналітична довідка/звіт формується після 1 липня 202</w:t>
      </w:r>
      <w:r>
        <w:rPr>
          <w:color w:val="333333"/>
          <w:sz w:val="28"/>
          <w:szCs w:val="28"/>
          <w:lang w:val="uk-UA"/>
        </w:rPr>
        <w:t>6</w:t>
      </w:r>
      <w:r w:rsidRPr="00DB086E">
        <w:rPr>
          <w:color w:val="333333"/>
          <w:sz w:val="28"/>
          <w:szCs w:val="28"/>
          <w:lang w:val="uk-UA"/>
        </w:rPr>
        <w:t xml:space="preserve"> року та буде представлена на сайті гімназії.</w:t>
      </w:r>
    </w:p>
    <w:p w:rsidR="00CD289E" w:rsidRPr="00DB086E" w:rsidRDefault="00CD289E" w:rsidP="00CD289E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B086E">
        <w:rPr>
          <w:sz w:val="28"/>
          <w:szCs w:val="28"/>
          <w:lang w:val="uk-UA"/>
        </w:rPr>
        <w:t xml:space="preserve">Щодо роботи </w:t>
      </w:r>
      <w:r>
        <w:rPr>
          <w:b/>
          <w:sz w:val="28"/>
          <w:szCs w:val="28"/>
          <w:lang w:val="uk-UA"/>
        </w:rPr>
        <w:t>педагогічної</w:t>
      </w:r>
      <w:r w:rsidRPr="00DB086E">
        <w:rPr>
          <w:b/>
          <w:sz w:val="28"/>
          <w:szCs w:val="28"/>
          <w:lang w:val="uk-UA"/>
        </w:rPr>
        <w:t xml:space="preserve"> ради</w:t>
      </w:r>
      <w:r w:rsidRPr="00DB086E">
        <w:rPr>
          <w:sz w:val="28"/>
          <w:szCs w:val="28"/>
          <w:lang w:val="uk-UA"/>
        </w:rPr>
        <w:t xml:space="preserve"> гімназії – упродовж навчального року було проведено 7 засідань. На усіх запланованих засіданнях об</w:t>
      </w:r>
      <w:r>
        <w:rPr>
          <w:sz w:val="28"/>
          <w:szCs w:val="28"/>
          <w:lang w:val="uk-UA"/>
        </w:rPr>
        <w:t xml:space="preserve">говорювалися як організаційні </w:t>
      </w:r>
      <w:r w:rsidRPr="00DB086E">
        <w:rPr>
          <w:sz w:val="28"/>
          <w:szCs w:val="28"/>
          <w:lang w:val="uk-UA"/>
        </w:rPr>
        <w:t xml:space="preserve">питання, так і науково-методичні питання щодо впровадження в освітній процес нових технологій, інтенсивних форм і методів навчання, організацію та проведення предметних тижнів. </w:t>
      </w:r>
      <w:r w:rsidRPr="00906847">
        <w:rPr>
          <w:sz w:val="28"/>
          <w:szCs w:val="28"/>
          <w:lang w:val="uk-UA"/>
        </w:rPr>
        <w:t xml:space="preserve">За вказаний період представлено та проведено педагогічні знахідки та напрацювання вчителів  гімназії, котрі провели відкриті уроки, майстер-класи, тренінги, що наведено </w:t>
      </w:r>
      <w:r w:rsidRPr="00906847">
        <w:rPr>
          <w:color w:val="212121"/>
          <w:sz w:val="28"/>
          <w:szCs w:val="28"/>
          <w:lang w:val="uk-UA"/>
        </w:rPr>
        <w:t xml:space="preserve">Додатку </w:t>
      </w:r>
      <w:r>
        <w:rPr>
          <w:color w:val="212121"/>
          <w:sz w:val="28"/>
          <w:szCs w:val="28"/>
          <w:lang w:val="uk-UA"/>
        </w:rPr>
        <w:t>2</w:t>
      </w:r>
      <w:r w:rsidRPr="00906847">
        <w:rPr>
          <w:color w:val="212121"/>
          <w:sz w:val="28"/>
          <w:szCs w:val="28"/>
          <w:lang w:val="uk-UA"/>
        </w:rPr>
        <w:t>.</w:t>
      </w:r>
    </w:p>
    <w:p w:rsidR="00CD289E" w:rsidRDefault="00CD289E" w:rsidP="00CD28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Продовжено </w:t>
      </w:r>
      <w:r w:rsidRPr="00DB086E">
        <w:rPr>
          <w:sz w:val="28"/>
          <w:szCs w:val="28"/>
          <w:lang w:val="uk-UA"/>
        </w:rPr>
        <w:t xml:space="preserve">роботу щодо </w:t>
      </w:r>
      <w:r w:rsidRPr="00DB086E">
        <w:rPr>
          <w:b/>
          <w:sz w:val="28"/>
          <w:szCs w:val="28"/>
          <w:lang w:val="uk-UA"/>
        </w:rPr>
        <w:t xml:space="preserve">академічної доброчесності. </w:t>
      </w:r>
      <w:r w:rsidRPr="00E263F3">
        <w:rPr>
          <w:sz w:val="28"/>
          <w:szCs w:val="28"/>
          <w:lang w:val="uk-UA"/>
        </w:rPr>
        <w:t xml:space="preserve">В рамках співпраці з </w:t>
      </w:r>
      <w:r w:rsidRPr="00555B38">
        <w:rPr>
          <w:sz w:val="28"/>
          <w:szCs w:val="28"/>
          <w:lang w:val="uk-UA"/>
        </w:rPr>
        <w:t>КУ “Міський центр професійного розвитку педагогічних працівників” Чернівецької міської ради відбувся тренінг “Академічна доброчесність у закладі освіти”.</w:t>
      </w:r>
      <w:r>
        <w:rPr>
          <w:sz w:val="28"/>
          <w:szCs w:val="28"/>
          <w:lang w:val="uk-UA"/>
        </w:rPr>
        <w:t xml:space="preserve"> </w:t>
      </w:r>
      <w:r w:rsidRPr="00555B38">
        <w:rPr>
          <w:sz w:val="28"/>
          <w:szCs w:val="28"/>
          <w:lang w:val="uk-UA"/>
        </w:rPr>
        <w:t>Провели тренінг працівники в рамках програми підвищення кваліфікації, спрямували педагогічних працівників на удосконалення цифрової компетентності та подальшого розвитку навичок дотримання академічної доброчесності.</w:t>
      </w:r>
      <w:r>
        <w:rPr>
          <w:sz w:val="28"/>
          <w:szCs w:val="28"/>
          <w:lang w:val="uk-UA"/>
        </w:rPr>
        <w:t xml:space="preserve"> Загалом проведено 10 заходів за тематикою, котрі висвітлено на сайті у спеціальній рубриці: </w:t>
      </w:r>
      <w:hyperlink r:id="rId16" w:history="1">
        <w:r w:rsidRPr="00E169AC">
          <w:rPr>
            <w:rStyle w:val="a4"/>
            <w:sz w:val="28"/>
            <w:szCs w:val="28"/>
            <w:lang w:val="uk-UA"/>
          </w:rPr>
          <w:t>https://surl.li/oczivf</w:t>
        </w:r>
      </w:hyperlink>
      <w:r>
        <w:rPr>
          <w:sz w:val="28"/>
          <w:szCs w:val="28"/>
          <w:lang w:val="uk-UA"/>
        </w:rPr>
        <w:t xml:space="preserve"> .</w:t>
      </w:r>
    </w:p>
    <w:p w:rsidR="001B7DE3" w:rsidRDefault="001B7DE3" w:rsidP="00CD289E">
      <w:pPr>
        <w:rPr>
          <w:sz w:val="28"/>
          <w:szCs w:val="28"/>
          <w:lang w:val="uk-UA"/>
        </w:rPr>
      </w:pPr>
    </w:p>
    <w:p w:rsidR="001B7DE3" w:rsidRDefault="001B7DE3" w:rsidP="00CD289E">
      <w:pPr>
        <w:rPr>
          <w:sz w:val="28"/>
          <w:szCs w:val="28"/>
          <w:lang w:val="uk-UA"/>
        </w:rPr>
      </w:pPr>
    </w:p>
    <w:p w:rsidR="001B7DE3" w:rsidRDefault="001B7DE3" w:rsidP="00CD28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з НВР</w:t>
      </w:r>
    </w:p>
    <w:p w:rsidR="001B7DE3" w:rsidRDefault="001B7DE3" w:rsidP="00CD28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Ганна СКРИПСЬКА</w:t>
      </w:r>
    </w:p>
    <w:p w:rsidR="001B7DE3" w:rsidRDefault="001B7DE3" w:rsidP="00CD289E">
      <w:r>
        <w:rPr>
          <w:sz w:val="28"/>
          <w:szCs w:val="28"/>
          <w:lang w:val="uk-UA"/>
        </w:rPr>
        <w:t>17.06.2026</w:t>
      </w:r>
      <w:bookmarkStart w:id="0" w:name="_GoBack"/>
      <w:bookmarkEnd w:id="0"/>
    </w:p>
    <w:sectPr w:rsidR="001B7DE3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64EB"/>
    <w:multiLevelType w:val="hybridMultilevel"/>
    <w:tmpl w:val="8B28E16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47"/>
    <w:rsid w:val="001B7DE3"/>
    <w:rsid w:val="00777FC8"/>
    <w:rsid w:val="00950647"/>
    <w:rsid w:val="00C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D1697"/>
  <w15:chartTrackingRefBased/>
  <w15:docId w15:val="{C6110086-DCE5-4D34-A112-891C113E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89E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8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CD289E"/>
    <w:rPr>
      <w:color w:val="0563C1" w:themeColor="hyperlink"/>
      <w:u w:val="single"/>
    </w:rPr>
  </w:style>
  <w:style w:type="paragraph" w:customStyle="1" w:styleId="1">
    <w:name w:val="Без інтервалів1"/>
    <w:qFormat/>
    <w:rsid w:val="00CD289E"/>
    <w:pPr>
      <w:jc w:val="left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jmyzam" TargetMode="External"/><Relationship Id="rId13" Type="http://schemas.openxmlformats.org/officeDocument/2006/relationships/hyperlink" Target="https://surl.li/eklsv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rl.li/rttbjh" TargetMode="External"/><Relationship Id="rId12" Type="http://schemas.openxmlformats.org/officeDocument/2006/relationships/hyperlink" Target="https://view.officeapps.live.com/op/view.aspx?src=https%3A%2F%2Fzosh37.com.ua%2Fwp-content%2Fuploads%2F2026%2F06%2Fzvit-roboty-asyst.-vch.-25-26.docx&amp;wdOrigin=BROWSELI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url.li/ocziv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rl.li/dvnxct" TargetMode="External"/><Relationship Id="rId11" Type="http://schemas.openxmlformats.org/officeDocument/2006/relationships/hyperlink" Target="https://surl.li/obfbvp" TargetMode="External"/><Relationship Id="rId5" Type="http://schemas.openxmlformats.org/officeDocument/2006/relationships/hyperlink" Target="https://surl.li/tvozto" TargetMode="External"/><Relationship Id="rId15" Type="http://schemas.openxmlformats.org/officeDocument/2006/relationships/hyperlink" Target="https://surl.lu/lvlvgs" TargetMode="External"/><Relationship Id="rId10" Type="http://schemas.openxmlformats.org/officeDocument/2006/relationships/hyperlink" Target="https://surl.li/bvcvo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l.lt/bobsox" TargetMode="External"/><Relationship Id="rId14" Type="http://schemas.openxmlformats.org/officeDocument/2006/relationships/hyperlink" Target="https://surl.li/cfjx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2026-06-23T09:58:00Z</dcterms:created>
  <dcterms:modified xsi:type="dcterms:W3CDTF">2026-06-23T10:00:00Z</dcterms:modified>
</cp:coreProperties>
</file>